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rPr>
          <w:color w:val="2F766E"/>
        </w:rPr>
        <w:t>ANALYSE  /  23. OKTOBER 2026</w:t>
      </w:r>
    </w:p>
    <w:p>
      <w:pPr>
        <w:pStyle w:val="Title"/>
      </w:pPr>
      <w:r>
        <w:t>Museerne i Danmark</w:t>
      </w:r>
    </w:p>
    <w:p>
      <w:pPr>
        <w:pStyle w:val="Subtitle"/>
      </w:pPr>
      <w:r>
        <w:t>Museumssteder, besøg, børn og kulturvaner</w:t>
      </w:r>
    </w:p>
    <w:p>
      <w:r>
        <w:t>Udarbejdet af Christian Edelvold Berg, ph.d.</w:t>
      </w:r>
    </w:p>
    <w:p>
      <w:r>
        <w:t>Selvstændigt redaktionelt manuskript med dokumenterede kilder og metodeforbehold.</w:t>
      </w:r>
    </w:p>
    <w:p>
      <w:pPr>
        <w:pStyle w:val="Heading1"/>
      </w:pPr>
      <w:r>
        <w:t>Hovedfortælling</w:t>
      </w:r>
    </w:p>
    <w:p>
      <w:r>
        <w:t>Museerne i Danmark er både steder, hvor vi besøger udstillinger, og større institutionelle miljøer, der anvendes til meget andet. I 2025 havde museerne 17,58 mio. udstillingsbesøg og 21,22 mio. besøg på museumssteder samlet. Forskellen peger på den betydning, som caféer, haver, arrangementer og andre aktiviteter har for museumsstedernes brug. Men det betyder ikke uden videre, at flere forskellige danskere har været på museum.</w:t>
      </w:r>
    </w:p>
    <w:p>
      <w:pPr>
        <w:pStyle w:val="Heading1"/>
      </w:pPr>
      <w:r>
        <w:t>Udviklingen over tid</w:t>
      </w:r>
    </w:p>
    <w:p>
      <w:r>
        <w:t>For statslige og statsanerkendte museer viser en afgrænset serie 10,84 mio. udstillingsbesøg i 2015 og 12,71 mio. i 2025. Pandemiårene havde betydeligt lavere tal. Det nyere niveau skal beskrives med både genopretning og stabilitet; besøgene i 2025 var lavere end i 2024 i netop denne museumsgruppe. En anden serie for alle museumsformer viser 15,63 mio. udstillingsbesøg i 2019 og 17,58 mio. i 2025. Serierne må ikke splejses som én population. DST oplyser, at manglende indberetninger fra visse museer i 2025 er imputeret med 2024- eller 2023-oplysninger.</w:t>
      </w:r>
    </w:p>
    <w:p>
      <w:pPr>
        <w:pStyle w:val="Heading1"/>
      </w:pPr>
      <w:r>
        <w:t>Udstillingsbesøg og stedbesøg</w:t>
      </w:r>
    </w:p>
    <w:p>
      <w:r>
        <w:t>Mellem 2024 og 2025 steg udstillingsbesøgene med cirka 0,5 %, mens alle stedbesøg steg med cirka 3,6 %. I 2025 blev 3,64 mio. stedbesøg ikke registreret som udstillingsbesøg. Det er en væsentlig pointe, fordi et museums aktivitet og dets brug som udstillingssted ikke er identiske. Besøgstallene er stadig hændelser, ikke unikke besøgende.</w:t>
      </w:r>
    </w:p>
    <w:p>
      <w:pPr>
        <w:pStyle w:val="Heading1"/>
      </w:pPr>
      <w:r>
        <w:t>Børn og undervisning</w:t>
      </w:r>
    </w:p>
    <w:p>
      <w:r>
        <w:t>Der blev registreret 2.619.060 besøg af børn og unge under 18 år i 2025 på statslige og statsanerkendte museer. Heraf var 773.215 i forbindelse med undervisning – 29,5 % af børne- og ungebesøgene. Fra 2022 til 2025 steg det registrerede antal børne- og ungebesøg fra 2.093.045. Undervisningsbesøgene steg fra 603.554. Tallene kan ikke oversættes til antal forskellige elever eller dokumentation for kvalitet og læring.</w:t>
      </w:r>
    </w:p>
    <w:p>
      <w:pPr>
        <w:pStyle w:val="Heading1"/>
      </w:pPr>
      <w:r>
        <w:t>Museumsnet og geografi</w:t>
      </w:r>
    </w:p>
    <w:p>
      <w:r>
        <w:t>Danmarks Statistik opgjorde 244 museumsinstitutioner og 398 besøgssteder i 2025. Region Hovedstaden havde 100 besøgssteder, svarende til 25,1 % af landstotalen, men næsten 48 % af udstillingsbesøgene. Det dokumenterer en koncentration af besøgene i forhold til stederne, men ikke at museernes gæster bor i regionen, eller at folk uden for storbyerne har dårligere adgang. Afstand, åbningstid og transport kræver særskilt viden.</w:t>
      </w:r>
    </w:p>
    <w:p>
      <w:pPr>
        <w:pStyle w:val="Heading1"/>
      </w:pPr>
      <w:r>
        <w:t>Befolkningens brug og barrierer</w:t>
      </w:r>
    </w:p>
    <w:p>
      <w:r>
        <w:t>Danmarks Statistiks Kulturvaneundersøgelse viser, at 65 % af befolkningen på 16 år og derover havde besøgt museum i 2025. Blandt de 35 %, der ikke havde, angav 44 % manglende interesse, 18 % tidsmangel, 17 % en præference for at være hjemme, 14 % at det var for dyrt, og 7 % at det var svært at komme til museerne. Flere svar var mulige. Disse barrierer er selvrapporterede begrundelser, ikke kausale estimater af, hvad en indsats ville ændre.</w:t>
      </w:r>
    </w:p>
    <w:p>
      <w:pPr>
        <w:pStyle w:val="Heading1"/>
      </w:pPr>
      <w:r>
        <w:t>Samlet konklusion</w:t>
      </w:r>
    </w:p>
    <w:p>
      <w:r>
        <w:t>Et omfattende og aktivt museumsnet kan skabe muligheder for oplevelser med kunst, kulturarv og historie. Men aktivitet, adgang og deltagelse er forskellige mål. En offentlig vidensfortælling bør både vise museernes aktivitet og spørge, hvem der bruger dem, hvorfor andre ikke gør, og hvilken betydning mødet med museerne har. Registreret aktivitet alene kan ikke bære en værdidom om institutionernes effekt.</w:t>
      </w:r>
    </w:p>
    <w:p>
      <w:pPr>
        <w:pStyle w:val="Heading1"/>
      </w:pPr>
      <w:r>
        <w:t>Nøgletal til fortællingen</w:t>
      </w:r>
    </w:p>
    <w:tbl>
      <w:tblPr>
        <w:tblStyle w:val="LightShading-Accent1"/>
        <w:tblW w:type="auto" w:w="0"/>
        <w:jc w:val="center"/>
        <w:tblLook w:firstColumn="1" w:firstRow="1" w:lastColumn="0" w:lastRow="0" w:noHBand="0" w:noVBand="1" w:val="04A0"/>
      </w:tblPr>
      <w:tblGrid>
        <w:gridCol w:w="3154"/>
        <w:gridCol w:w="3154"/>
        <w:gridCol w:w="3154"/>
      </w:tblGrid>
      <w:tr>
        <w:tc>
          <w:tcPr>
            <w:tcW w:type="dxa" w:w="3154"/>
            <w:vAlign w:val="center"/>
          </w:tcPr>
          <w:p>
            <w:r>
              <w:rPr>
                <w:sz w:val="18"/>
              </w:rPr>
              <w:t>Indikator</w:t>
            </w:r>
          </w:p>
        </w:tc>
        <w:tc>
          <w:tcPr>
            <w:tcW w:type="dxa" w:w="3154"/>
            <w:vAlign w:val="center"/>
          </w:tcPr>
          <w:p>
            <w:r>
              <w:rPr>
                <w:sz w:val="18"/>
              </w:rPr>
              <w:t>År</w:t>
            </w:r>
          </w:p>
        </w:tc>
        <w:tc>
          <w:tcPr>
            <w:tcW w:type="dxa" w:w="3154"/>
            <w:vAlign w:val="center"/>
          </w:tcPr>
          <w:p>
            <w:r>
              <w:rPr>
                <w:sz w:val="18"/>
              </w:rPr>
              <w:t>Observation</w:t>
            </w:r>
          </w:p>
        </w:tc>
      </w:tr>
      <w:tr>
        <w:tc>
          <w:tcPr>
            <w:tcW w:type="dxa" w:w="3154"/>
            <w:vAlign w:val="center"/>
          </w:tcPr>
          <w:p>
            <w:r>
              <w:rPr>
                <w:sz w:val="18"/>
              </w:rPr>
              <w:t>Udstillingsbesøg, alle museer</w:t>
            </w:r>
          </w:p>
        </w:tc>
        <w:tc>
          <w:tcPr>
            <w:tcW w:type="dxa" w:w="3154"/>
            <w:vAlign w:val="center"/>
          </w:tcPr>
          <w:p>
            <w:r>
              <w:rPr>
                <w:sz w:val="18"/>
              </w:rPr>
              <w:t>2025</w:t>
            </w:r>
          </w:p>
        </w:tc>
        <w:tc>
          <w:tcPr>
            <w:tcW w:type="dxa" w:w="3154"/>
            <w:vAlign w:val="center"/>
          </w:tcPr>
          <w:p>
            <w:r>
              <w:rPr>
                <w:sz w:val="18"/>
              </w:rPr>
              <w:t>17.584.644</w:t>
            </w:r>
          </w:p>
        </w:tc>
      </w:tr>
      <w:tr>
        <w:tc>
          <w:tcPr>
            <w:tcW w:type="dxa" w:w="3154"/>
            <w:vAlign w:val="center"/>
          </w:tcPr>
          <w:p>
            <w:r>
              <w:rPr>
                <w:sz w:val="18"/>
              </w:rPr>
              <w:t>Alle stedbesøg</w:t>
            </w:r>
          </w:p>
        </w:tc>
        <w:tc>
          <w:tcPr>
            <w:tcW w:type="dxa" w:w="3154"/>
            <w:vAlign w:val="center"/>
          </w:tcPr>
          <w:p>
            <w:r>
              <w:rPr>
                <w:sz w:val="18"/>
              </w:rPr>
              <w:t>2025</w:t>
            </w:r>
          </w:p>
        </w:tc>
        <w:tc>
          <w:tcPr>
            <w:tcW w:type="dxa" w:w="3154"/>
            <w:vAlign w:val="center"/>
          </w:tcPr>
          <w:p>
            <w:r>
              <w:rPr>
                <w:sz w:val="18"/>
              </w:rPr>
              <w:t>21.220.226</w:t>
            </w:r>
          </w:p>
        </w:tc>
      </w:tr>
      <w:tr>
        <w:tc>
          <w:tcPr>
            <w:tcW w:type="dxa" w:w="3154"/>
            <w:vAlign w:val="center"/>
          </w:tcPr>
          <w:p>
            <w:r>
              <w:rPr>
                <w:sz w:val="18"/>
              </w:rPr>
              <w:t>Museumssteder</w:t>
            </w:r>
          </w:p>
        </w:tc>
        <w:tc>
          <w:tcPr>
            <w:tcW w:type="dxa" w:w="3154"/>
            <w:vAlign w:val="center"/>
          </w:tcPr>
          <w:p>
            <w:r>
              <w:rPr>
                <w:sz w:val="18"/>
              </w:rPr>
              <w:t>2025</w:t>
            </w:r>
          </w:p>
        </w:tc>
        <w:tc>
          <w:tcPr>
            <w:tcW w:type="dxa" w:w="3154"/>
            <w:vAlign w:val="center"/>
          </w:tcPr>
          <w:p>
            <w:r>
              <w:rPr>
                <w:sz w:val="18"/>
              </w:rPr>
              <w:t>398</w:t>
            </w:r>
          </w:p>
        </w:tc>
      </w:tr>
      <w:tr>
        <w:tc>
          <w:tcPr>
            <w:tcW w:type="dxa" w:w="3154"/>
            <w:vAlign w:val="center"/>
          </w:tcPr>
          <w:p>
            <w:r>
              <w:rPr>
                <w:sz w:val="18"/>
              </w:rPr>
              <w:t>Under 18 – udstillingsbesøg, stats-/statsanerkendte</w:t>
            </w:r>
          </w:p>
        </w:tc>
        <w:tc>
          <w:tcPr>
            <w:tcW w:type="dxa" w:w="3154"/>
            <w:vAlign w:val="center"/>
          </w:tcPr>
          <w:p>
            <w:r>
              <w:rPr>
                <w:sz w:val="18"/>
              </w:rPr>
              <w:t>2025</w:t>
            </w:r>
          </w:p>
        </w:tc>
        <w:tc>
          <w:tcPr>
            <w:tcW w:type="dxa" w:w="3154"/>
            <w:vAlign w:val="center"/>
          </w:tcPr>
          <w:p>
            <w:r>
              <w:rPr>
                <w:sz w:val="18"/>
              </w:rPr>
              <w:t>2.619.060</w:t>
            </w:r>
          </w:p>
        </w:tc>
      </w:tr>
      <w:tr>
        <w:tc>
          <w:tcPr>
            <w:tcW w:type="dxa" w:w="3154"/>
            <w:vAlign w:val="center"/>
          </w:tcPr>
          <w:p>
            <w:r>
              <w:rPr>
                <w:sz w:val="18"/>
              </w:rPr>
              <w:t>Børn med undervisning, samme population</w:t>
            </w:r>
          </w:p>
        </w:tc>
        <w:tc>
          <w:tcPr>
            <w:tcW w:type="dxa" w:w="3154"/>
            <w:vAlign w:val="center"/>
          </w:tcPr>
          <w:p>
            <w:r>
              <w:rPr>
                <w:sz w:val="18"/>
              </w:rPr>
              <w:t>2025</w:t>
            </w:r>
          </w:p>
        </w:tc>
        <w:tc>
          <w:tcPr>
            <w:tcW w:type="dxa" w:w="3154"/>
            <w:vAlign w:val="center"/>
          </w:tcPr>
          <w:p>
            <w:r>
              <w:rPr>
                <w:sz w:val="18"/>
              </w:rPr>
              <w:t>773.215</w:t>
            </w:r>
          </w:p>
        </w:tc>
      </w:tr>
      <w:tr>
        <w:tc>
          <w:tcPr>
            <w:tcW w:type="dxa" w:w="3154"/>
            <w:vAlign w:val="center"/>
          </w:tcPr>
          <w:p>
            <w:r>
              <w:rPr>
                <w:sz w:val="18"/>
              </w:rPr>
              <w:t>Museum seneste år, 16+</w:t>
            </w:r>
          </w:p>
        </w:tc>
        <w:tc>
          <w:tcPr>
            <w:tcW w:type="dxa" w:w="3154"/>
            <w:vAlign w:val="center"/>
          </w:tcPr>
          <w:p>
            <w:r>
              <w:rPr>
                <w:sz w:val="18"/>
              </w:rPr>
              <w:t>2025</w:t>
            </w:r>
          </w:p>
        </w:tc>
        <w:tc>
          <w:tcPr>
            <w:tcW w:type="dxa" w:w="3154"/>
            <w:vAlign w:val="center"/>
          </w:tcPr>
          <w:p>
            <w:r>
              <w:rPr>
                <w:sz w:val="18"/>
              </w:rPr>
              <w:t>65 %</w:t>
            </w:r>
          </w:p>
        </w:tc>
      </w:tr>
    </w:tbl>
    <w:p>
      <w:pPr>
        <w:pStyle w:val="Heading1"/>
      </w:pPr>
      <w:r>
        <w:t>Kilder og revisionsstatus</w:t>
      </w:r>
    </w:p>
    <w:p>
      <w:r>
        <w:t>Direkte registrerede tal angives med original myndighed som kilde. Egne rater, andele og indeks er beregnet på grundlag af de anførte kilder. Registrerede besøg er ikke antal unikke personer.</w:t>
      </w:r>
    </w:p>
    <w:p>
      <w:pPr>
        <w:spacing w:after="40"/>
      </w:pPr>
      <w:r>
        <w:rPr>
          <w:b/>
          <w:sz w:val="16"/>
        </w:rPr>
        <w:t xml:space="preserve">DST MUS1: </w:t>
      </w:r>
      <w:r>
        <w:rPr>
          <w:sz w:val="16"/>
        </w:rPr>
        <w:t>https://www.statistikbanken.dk/MUS1</w:t>
      </w:r>
    </w:p>
    <w:p>
      <w:pPr>
        <w:spacing w:after="40"/>
      </w:pPr>
      <w:r>
        <w:rPr>
          <w:b/>
          <w:sz w:val="16"/>
        </w:rPr>
        <w:t xml:space="preserve">DST MUS3: </w:t>
      </w:r>
      <w:r>
        <w:rPr>
          <w:sz w:val="16"/>
        </w:rPr>
        <w:t>https://www.statistikbanken.dk/MUS3</w:t>
      </w:r>
    </w:p>
    <w:p>
      <w:pPr>
        <w:spacing w:after="40"/>
      </w:pPr>
      <w:r>
        <w:rPr>
          <w:b/>
          <w:sz w:val="16"/>
        </w:rPr>
        <w:t xml:space="preserve">DST MUS4: </w:t>
      </w:r>
      <w:r>
        <w:rPr>
          <w:sz w:val="16"/>
        </w:rPr>
        <w:t>https://www.statistikbanken.dk/MUS4</w:t>
      </w:r>
    </w:p>
    <w:p>
      <w:pPr>
        <w:spacing w:after="40"/>
      </w:pPr>
      <w:r>
        <w:rPr>
          <w:b/>
          <w:sz w:val="16"/>
        </w:rPr>
        <w:t xml:space="preserve">DST Kulturvaner 2025: </w:t>
      </w:r>
      <w:r>
        <w:rPr>
          <w:sz w:val="16"/>
        </w:rPr>
        <w:t>https://www.dst.dk/da/Statistik/udgivelser/NytHtml?cid=53124</w:t>
      </w:r>
    </w:p>
    <w:p>
      <w:pPr>
        <w:spacing w:after="40"/>
      </w:pPr>
      <w:r>
        <w:rPr>
          <w:b/>
          <w:sz w:val="16"/>
        </w:rPr>
        <w:t xml:space="preserve">DST Museum precision: </w:t>
      </w:r>
      <w:r>
        <w:rPr>
          <w:sz w:val="16"/>
        </w:rPr>
        <w:t>https://www.dst.dk/da/Statistik/dokumentation/statistikdokumentation/museer/praecision-og-paalidelighed</w:t>
      </w:r>
    </w:p>
    <w:p>
      <w:r>
        <w:t>Metodeafgrænsning: 2015–2025-serien for statslige/statsanerkendte museer og 2019–2025-serien for alle museumstyper er ikke samme population. De nationale MUS4-børne- og undervisningstal har en snævrere populationsafgrænsning end nationale MUS1-totaler. Barrierer kan have flere svar og gælder de personer, der ikke besøgte museum.</w:t>
      </w:r>
    </w:p>
    <w:sectPr w:rsidR="00FC693F" w:rsidRPr="0006063C" w:rsidSect="00034616">
      <w:headerReference w:type="default" r:id="rId9"/>
      <w:footerReference w:type="default" r:id="rId10"/>
      <w:pgSz w:w="11909" w:h="16834"/>
      <w:pgMar w:top="1008" w:right="1224" w:bottom="864"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center"/>
    </w:pPr>
    <w:r>
      <w:t>Christian Edelvold Berg, ph.d.   •   Analyseudgave 23.10.2026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2F766E"/>
      </w:rPr>
      <w:t>VIDEN OM KULTUR  /  MUSEUMSFORTÆLLINGER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132A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Aptos Display" w:hAnsi="Aptos Display"/>
      <w:b/>
      <w:bCs/>
      <w:color w:val="123F48"/>
      <w:sz w:val="30"/>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Aptos Display" w:hAnsi="Aptos Display"/>
      <w:b/>
      <w:bCs/>
      <w:color w:val="123F4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20"/>
      <w:contextualSpacing/>
    </w:pPr>
    <w:rPr>
      <w:rFonts w:asciiTheme="majorHAnsi" w:eastAsiaTheme="majorEastAsia" w:hAnsiTheme="majorHAnsi" w:cstheme="majorBidi" w:ascii="Aptos Display" w:hAnsi="Aptos Display"/>
      <w:b w:val="0"/>
      <w:color w:val="123F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